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123</w:t>
      </w:r>
    </w:p>
    <w:p>
      <w:r>
        <w:t>Bundesgericht (BGE), 2010-01-01, FR</w:t>
      </w:r>
    </w:p>
    <w:p>
      <w:r>
        <w:rPr>
          <w:b/>
        </w:rPr>
        <w:t xml:space="preserve">Quelle: </w:t>
      </w:r>
      <w:r>
        <w:t>https://mcp.opencaselaw.ch/entscheid/bge_136 III 123</w:t>
      </w:r>
    </w:p>
    <w:p>
      <w:r>
        <w:t>FR: ATF 136 III 123</w:t>
      </w:r>
    </w:p>
    <w:p>
      <w:r>
        <w:t>IT: DTF 136 III 123</w:t>
      </w:r>
    </w:p>
    <w:p>
      <w:pPr>
        <w:pStyle w:val="Heading2"/>
      </w:pPr>
      <w:r>
        <w:t>Regeste</w:t>
      </w:r>
    </w:p>
    <w:p>
      <w:r>
        <w:t>Regeste Art. 598 ff. ZGB; Feststellungsklage verbunden mit einer Erbschaftsklage; Passivlegitimation. Die von einem Verein erhobene Klage, seine Einsetzung als Erbe der Erblasserin festzustellen und ihn als Eigentümer mehrerer Parzellen im Grundbuch einzutragen, ist als Feststellungsklage verbunden mit einer Erbschaftsklage zu qualifizieren (E. 4.3). Diese Klage muss sich gegen die zwei gesetzlichen Erbinnen der Erblasserin als notwendige materielle Streitgenossinnen richten. Sollte allerdings eine förmlich erklären, sich im Voraus dem Ergebnis des Prozesses zu unterwerfen, oder die Klage ohne weiteres förmlich anerkennen, ist ihre Teilnahme am Prozess nicht erforderlich (E. 4.4).</w:t>
      </w:r>
    </w:p>
    <w:p>
      <w:pPr>
        <w:pStyle w:val="Heading2"/>
      </w:pPr>
      <w:r>
        <w:t>Erwägungen</w:t>
      </w:r>
    </w:p>
    <w:p>
      <w:r>
        <w:rPr>
          <w:b/>
        </w:rPr>
        <w:t>E. 4.3</w:t>
      </w:r>
    </w:p>
    <w:p>
      <w:r>
        <w:t>Il convient de qualifier l'action de la recourante afin de déterminer qui a la légitimation passive.</w:t>
      </w:r>
    </w:p>
    <w:p>
      <w:r>
        <w:rPr>
          <w:b/>
        </w:rPr>
        <w:t>E. 4.3.1</w:t>
      </w:r>
    </w:p>
    <w:p>
      <w:r>
        <w:t>Selon la jurisprudence, l'objet du litige est déterminé par les conclusions de la demande et par les faits invoqués à l'appui de celle-ci, à savoir par le complexe de faits sur lequel les conclusions se fondent ( ATF 116 II 738 consid. 2 p. 743; ATF 105 II 268 consid. 2 p. 270; ATF 97 II 390 consid. 4 p. 396). En l'espèce, la demanderesse a conclu à la constatation de sa qualité d'héritière instituée unique de la défunte - le testament n'attribuant, selon elle, aux soeurs de celle-ci que les parcelles sises en zone agricole ainsi que le bâtiment sis sur la parcelle n° 177 - et requis son inscription au registre foncier en qualité de propriétaire des parcelles n os 41, 58, 174, 177 et 178, à savoir celles sises en zone protégée. Elle invoque la teneur du testament, soutenant que, puisqu'elle se voit attribuer le reste des biens de la défunte, elle serait héritière instituée, alors que les soeurs ne seraient que légataires. Pour sa part, la défenderesse conteste que la demanderesse soit héritière instituée aux termes du testament et invoque que sa soeur et elle-même sont les héritières instituées de la défunte, la demanderesse n'étant que légataire; à titre subsidiaire, pour le cas où la demanderesse serait reconnue héritière, elle conclut à sa qualité de co-légataire avec sa soeur des parcelles n os 5, 41, 58, 123, 174, 177 et 178 de la commune de Y. Dans ces circonstances, sur la base des conclusions de la demanderesse, l'action doit être qualifiée d'action en constatation de droit assortie d'une action en pétition d'hérédité. Tout d'abord, son action tend à la constatation de sa qualité d'héritière unique aux termes mêmes du testament, tel qu'il est rédigé et doit être, selon elle, compris et interprété. Ainsi, elle n'a pas pour objet l'annulation d'une disposition pour cause de mort au sens de l' art. 519 CC , laquelle n'a pas à être introduite contre tous les héritiers en qualité de consorts nécessaires, ni à l'inefficacité d'une telle disposition. Ensuite, l'action tend à ce que, pour une partie des biens, à savoir les parcelles non agricoles, elle soit inscrite comme propriétaire au registre foncier.</w:t>
      </w:r>
    </w:p>
    <w:p>
      <w:r>
        <w:rPr>
          <w:b/>
        </w:rPr>
        <w:t>E. 4.3.2</w:t>
      </w:r>
    </w:p>
    <w:p>
      <w:r>
        <w:t>L'action en constatation de droit est recevable, puisque la constatation de la qualité d'héritière unique a une portée propre ( ATF 131 III 319 consid. 3.5 p. 324 s.; ATF 123 III 414 consid. 7b p. 429; BGE 136 III 123 S. 127 ATF 120 II 20 consid. 3a p. 22; ATF 110 II 352 consid. 2 p. 357). En effet, au- delà de l'inscription au registre foncier en tant que propriétaire des immeubles, la recourante a un intérêt à ce que soit constatée sa qualité d'héritière en relation avec le solde des biens meubles, dont elle ne demande pas la mise en possession dans le cadre de la présente procédure. Quant à l'inscription en qualité de propriétaire des immeubles en cause, c'est à tort que la recourante soutient qu'il ne s'agit pas d'une action en pétition d'hérédité. En effet, dans la mesure où elle se prétend seule héritière instituée, son action n'est pas ouverte contre un ou des co-héritiers comme elle le prétend; elle n'agit pas non plus en partage, mais elle veut obtenir que soit jugée une prétention qui exclut l'intimée et sa soeur de la succession ( ATF 91 II 264 consid. 2 p. 268). Or, les héritiers légaux étant possesseurs provisoires des biens de la succession (STEINAUER, Le droit des successions, 2006, n° 885 p. 434), la recourante doit nécessairement agir contre eux pour obtenir son inscription au registre foncier comme propriétaire.</w:t>
      </w:r>
    </w:p>
    <w:p>
      <w:r>
        <w:rPr>
          <w:b/>
        </w:rPr>
        <w:t>E. 4.4</w:t>
      </w:r>
    </w:p>
    <w:p>
      <w:r>
        <w:t>Il y a donc lieu d'examiner si la recourante a valablement ouvert son action en constatation de droit et en pétition d'hérédité en la dirigeant contre l'intimée seule ou si elle devait agir contre les deux soeurs de la défunte, en qualité de consorts nécessaires.</w:t>
      </w:r>
    </w:p>
    <w:p>
      <w:r>
        <w:rPr>
          <w:b/>
        </w:rPr>
        <w:t>E. 4.4.1</w:t>
      </w:r>
    </w:p>
    <w:p>
      <w:r>
        <w:t>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 ATF 118 II 168 consid. 2b p. 169/170). Il y a également consorité matérielle nécessaire lorsque l'action est formatrice et tend à la suppression d'un rapport de droit qui touche plusieurs personnes; ainsi, l'action en partage contre un héritier doit être en principe ouverte par tous les autres héritiers, comme consorts nécessaires ( ATF 86 II 451 consid. 3 p. 455; ATF 100 II 440 consid. 1 p. 441). Fait exception l'action (formatrice) en nullité du testament des art. 519 ss CC ; la jurisprudence admet que le jugement rendu dans une telle procédure n'a d'effets qu'entre les parties au procès, car elle ne met en jeu aucun intérêt public pouvant exiger que le jugement qui la déclare fondée produise ses effets envers chacun. Il est, en effet, loisible aux intéressés de décider si et, le cas échéant, dans quelle mesure, ils entendent admettre la validité d'une disposition de dernière volonté ( ATF 81 II 33 consid. 3 p. 36 et les autres arrêts cités). BGE 136 III 123 S. 128 Les consorts matériels nécessaires doivent donc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 ATF 116 Ib 447 consid. 2a p. 449; ATF 86 II 451 consid. 3 p. 455).</w:t>
      </w:r>
    </w:p>
    <w:p>
      <w:r>
        <w:rPr>
          <w:b/>
        </w:rPr>
        <w:t>E. 4.4.2</w:t>
      </w:r>
    </w:p>
    <w:p>
      <w:r>
        <w:t>En l'espèce, la recourante a allégué que, puisque la soeur de l'intimée n'avait pas contesté son interprétation du testament, elle ne dirigeait son action que contre l'intimée. Or, la disposition testamentaire par laquelle la défunte a attribué à ses deux soeurs la maison de famille et les terrains agricoles - dont l'interprétation est litigieuse - est indivisible entre elles. Elles sont co-titulaires (propriété commune) des droits de propriété sur ces biens; la clause ne peut pas valoir pour l'une et pas pour l'autre. La recourante ne le conteste d'ailleurs pas; elle prétend seulement qu'elle n'avait pas à ouvrir action contre la soeur de l'intimée car celle-ci n'aurait pas contesté son interprétation du testament. Ce n'est toutefois que si le co-titulaire du droit déclare formellement se soumettre par avance à l'issue du procès ou reconnaît d'emblée la demande que sa participation au procès n'est pas nécessaire. Or, ces conditions ne sont pas remplies dans le cas d'espèce, comme l'a constaté la cour cantonale. La recourante ne démontre pas l'arbitraire de cette constatation; elle se borne à affirmer que la soeur de l'intimée "se désintéressait du sort de ce litige et s'en remettait à un accord des intéressés ou à une décision de justice", mais ne prétend pas avoir prouvé ceci devant les instances cantonales. Quant à l'argument tiré du fait que l'intimée n'aurait pas contesté que sa soeur était d'accord avec l'interprétation du testament, il est sans pertinence. En effet, l'admission de ce fait ne saurait pallier à l'absence de déclaration formelle de la soeur de l'intimée.</w:t>
      </w:r>
    </w:p>
    <w:p>
      <w:r>
        <w:rPr>
          <w:b/>
        </w:rPr>
        <w:t>E. 4.4.3</w:t>
      </w:r>
    </w:p>
    <w:p>
      <w:r>
        <w:t>Enfin, la pièce nouvelle produite par la recourante, à savoir une déclaration légalisée de la soeur de l'intimée, datée du 7 novembre 2009, aux termes de laquelle celle-ci déclare se soumettre par avance au jugement définitif qui sera rendu dans l'affaire opposant les parties au sujet de l'interprétation du testament de la défunte, est irrecevable. Selon l' art. 99 al. 1 LTF , aucun fait nouveau ni preuve nouvelle ne peut, en effet, être présenté devant le Tribunal fédéral, à moins de BGE 136 III 123 S. 129 résulter de la décision de l'autorité précédente. Sont visés par cette exception les faits qui sont rendus pertinents pour la première fois par la décision attaquée. C'est ainsi que les critiques relatives à la régularité de la procédure devant l'instance précédente (par exemple une violation du droit d'être entendu lors de mesures probatoires) doivent pouvoir être soutenues par des faits qui n'ont pas été invoqués devant cette instance. De même, lorsque la décision de l'instance précédente a été fondée sur un nouvel argument juridique auquel les parties n'avaient pas été confrontées précédemment, les recourants peuvent avancer devant le Tribunal fédéral les faits nouveaux qui démontrent que l'argumentation de l'instance précédente est contraire au droit. S'y ajoutent encore les faits qui ne pouvaient pas être invoqués devant l'autorité précédente, à savoir, par exemple, le respect du délai pour recourir au Tribunal fédéral (Message du 28 février 2001 concernant la révision totale de l'organisation judiciaire fédérale, FF 2001 4000 ss, 4137). En revanche, ne peuvent être allégués devant le Tribunal fédéral les faits que le recourant a négligé de présenter devant les autorités cantonales et qui, par conséquent, n'ont pas pu être examinés par les instances inférieures. Le recourant ne peut ainsi démontrer, par de nouvelles allégations de faits qu'il aurait pu invoquer auparavant, que les faits retenus par l'autorité inférieure sont manifestement erronés ou procèdent d'une appréciation arbitraire des preuves (arrêt 4A_36/2008 du 18 février 2008 consid. 4.1 et les références citées). Il en va ainsi, en l'espèce, de la nouvelle pièce produite par la recourante, laquelle ne peut réparer de cette façon la négligence qu'elle a commise en omettant d'alléguer et de prouver la déclaration de la soeur de l'intimée, consort nécessaire, de se soumettre au jugement à intervenir.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